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ПРАВИТЕЛЬСТВО ТУЛЬСКОЙ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firstLine="709"/>
        <w:contextualSpacing/>
        <w:rPr>
          <w:b/>
          <w:b/>
          <w:szCs w:val="28"/>
        </w:rPr>
      </w:pPr>
      <w:r>
        <w:rPr>
          <w:b/>
          <w:szCs w:val="28"/>
        </w:rPr>
        <w:t>от 23.08.2018                                                                            № 335</w:t>
      </w:r>
    </w:p>
    <w:p>
      <w:pPr>
        <w:pStyle w:val="Normal"/>
        <w:spacing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jc w:val="center"/>
        <w:rPr/>
      </w:pPr>
      <w:r>
        <w:rPr>
          <w:b/>
          <w:bCs/>
          <w:szCs w:val="28"/>
        </w:rPr>
        <w:t>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autoSpaceDE w:val="false"/>
        <w:spacing w:lineRule="exact" w:line="340"/>
        <w:ind w:firstLine="709"/>
        <w:jc w:val="both"/>
        <w:rPr/>
      </w:pPr>
      <w:r>
        <w:rPr>
          <w:sz w:val="24"/>
          <w:szCs w:val="24"/>
        </w:rPr>
        <w:t xml:space="preserve">В соответствии с </w:t>
      </w:r>
      <w:hyperlink r:id="rId2">
        <w:r>
          <w:rPr>
            <w:rStyle w:val="Style15"/>
            <w:color w:val="000000"/>
            <w:sz w:val="24"/>
            <w:szCs w:val="24"/>
          </w:rPr>
          <w:t>частью 3 статьи 8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Закона Тульской области</w:t>
        <w:br/>
        <w:t xml:space="preserve">от 1 сентября 2011 года № 1637-ЗТО «О системе органов исполнительной власти Тульской области», на основании </w:t>
      </w:r>
      <w:hyperlink r:id="rId3">
        <w:r>
          <w:rPr>
            <w:rStyle w:val="Style15"/>
            <w:sz w:val="24"/>
            <w:szCs w:val="24"/>
          </w:rPr>
          <w:t>статьи 4</w:t>
        </w:r>
      </w:hyperlink>
      <w:r>
        <w:rPr>
          <w:sz w:val="24"/>
          <w:szCs w:val="24"/>
        </w:rPr>
        <w:t>8 Устава (Основного Закона) Тульской области правительство Тульской области ПОСТАНОВЛЯЕТ:</w:t>
      </w:r>
    </w:p>
    <w:p>
      <w:pPr>
        <w:pStyle w:val="ConsPlusNormal"/>
        <w:numPr>
          <w:ilvl w:val="0"/>
          <w:numId w:val="0"/>
        </w:numPr>
        <w:spacing w:lineRule="exact" w:line="340"/>
        <w:ind w:firstLine="709"/>
        <w:jc w:val="both"/>
        <w:outlineLvl w:val="0"/>
        <w:rPr/>
      </w:pPr>
      <w:r>
        <w:rPr>
          <w:sz w:val="24"/>
          <w:szCs w:val="24"/>
        </w:rPr>
        <w:t>1. Установить следующие дополнительные меры социальной поддержки, предоставляемые из бюджета Тульской области отдельным категориям медицинских работников в возрасте до 35 лет, впервые прибывших на работу в государственные учреждения здравоохранения Тульской области в период с 2018 года по 2022 год включительно, основным местом работы которых являются подразделения государственных учреждений здравоохранения Тульской области, оказывающие амбулаторно-поликлиническую помощь или скорую медицинскую помощь Тульской области, и имеющих востребованные специальности, включенные</w:t>
        <w:br/>
        <w:t>в перечень, согласно приложению к настоящему постановлению:</w:t>
      </w:r>
    </w:p>
    <w:p>
      <w:pPr>
        <w:pStyle w:val="ConsPlusNormal"/>
        <w:numPr>
          <w:ilvl w:val="0"/>
          <w:numId w:val="0"/>
        </w:numPr>
        <w:spacing w:lineRule="exact" w:line="360"/>
        <w:ind w:firstLine="709"/>
        <w:jc w:val="both"/>
        <w:outlineLvl w:val="0"/>
        <w:rPr/>
      </w:pPr>
      <w:r>
        <w:rPr>
          <w:sz w:val="24"/>
          <w:szCs w:val="24"/>
        </w:rPr>
        <w:t>1) в виде единовременной денежной выплаты в размере 130 000</w:t>
        <w:br/>
        <w:t>(ста тридцати тысяч) рублей врачам и 90 000 (девяноста тысяч) рублей фельдшерам за каждый полный отработанный год в течение 5 (пяти) лет;</w:t>
      </w:r>
    </w:p>
    <w:p>
      <w:pPr>
        <w:pStyle w:val="ConsPlusNormal"/>
        <w:numPr>
          <w:ilvl w:val="0"/>
          <w:numId w:val="0"/>
        </w:numPr>
        <w:spacing w:lineRule="exact" w:line="360"/>
        <w:ind w:firstLine="709"/>
        <w:jc w:val="both"/>
        <w:outlineLvl w:val="0"/>
        <w:rPr/>
      </w:pPr>
      <w:r>
        <w:rPr>
          <w:sz w:val="24"/>
          <w:szCs w:val="24"/>
        </w:rPr>
        <w:t>2) в виде возмещения части затрат по ипотечному кредиту (займу)</w:t>
        <w:br/>
        <w:t>для приобретения жилья, расположенного на территории Тульской области,</w:t>
        <w:br/>
        <w:t>но не более 650 000 (шестисот пятидесяти тысяч) рублей врачам и не более</w:t>
        <w:br/>
        <w:t>450 000 (четырехсот пятидесяти тысяч) рублей фельдшерам.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4"/>
          <w:szCs w:val="24"/>
        </w:rPr>
        <w:t>2. Установить, что дополнительные меры социальной поддержки, указанные в пункте 1 постановления, предоставляются по одному</w:t>
        <w:br/>
        <w:t>из оснований, указанных в подпунктах 1, 2 данного пункта, по выбору медицинских работников.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Министерству здравоохранения Тульской области в срок</w:t>
        <w:br/>
        <w:t>до 1 сентября 2018 года утвердить порядки и условия предоставления дополнительных мер социальной поддержки, указанных в пункте 1 постановления.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председателя правительства Тульской области Левину М.В.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4"/>
          <w:szCs w:val="24"/>
        </w:rPr>
        <w:t>5. Постановление вступает в силу по истечении 10 дней после дня его официального опубликования.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W w:w="936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500"/>
      </w:tblGrid>
      <w:tr>
        <w:trPr/>
        <w:tc>
          <w:tcPr>
            <w:tcW w:w="4860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5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Ю.М. Андрианов</w:t>
            </w:r>
          </w:p>
        </w:tc>
      </w:tr>
    </w:tbl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3311"/>
        <w:gridCol w:w="1559"/>
      </w:tblGrid>
      <w:tr>
        <w:trPr>
          <w:trHeight w:val="1084" w:hRule="atLeast"/>
        </w:trPr>
        <w:tc>
          <w:tcPr>
            <w:tcW w:w="4486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231" w:leader="none"/>
              </w:tabs>
              <w:spacing w:lineRule="exact" w:line="240"/>
              <w:jc w:val="center"/>
              <w:rPr/>
            </w:pPr>
            <w:r>
              <w:rPr>
                <w:sz w:val="22"/>
                <w:szCs w:val="22"/>
              </w:rPr>
              <w:t xml:space="preserve">Приложение </w:t>
              <w:br/>
              <w:t>к постановлению правительства Тульской области</w:t>
            </w:r>
          </w:p>
        </w:tc>
      </w:tr>
      <w:tr>
        <w:trPr>
          <w:cantSplit w:val="true"/>
        </w:trPr>
        <w:tc>
          <w:tcPr>
            <w:tcW w:w="4486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1" w:type="dxa"/>
            <w:tcBorders/>
            <w:shd w:fill="auto" w:val="clear"/>
          </w:tcPr>
          <w:p>
            <w:pPr>
              <w:pStyle w:val="Normal"/>
              <w:tabs>
                <w:tab w:val="left" w:pos="2231" w:leader="none"/>
              </w:tabs>
              <w:spacing w:lineRule="exact" w:line="240"/>
              <w:ind w:firstLine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23.08.2018 г.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tabs>
                <w:tab w:val="left" w:pos="2231" w:leader="none"/>
              </w:tabs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335</w:t>
            </w:r>
          </w:p>
        </w:tc>
      </w:tr>
    </w:tbl>
    <w:p>
      <w:pPr>
        <w:pStyle w:val="ConsPlus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Title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</w:r>
    </w:p>
    <w:p>
      <w:pPr>
        <w:pStyle w:val="ConsPlusNormal"/>
        <w:jc w:val="center"/>
        <w:rPr>
          <w:b/>
          <w:b/>
          <w:szCs w:val="28"/>
        </w:rPr>
      </w:pPr>
      <w:r>
        <w:rPr>
          <w:b/>
          <w:szCs w:val="28"/>
        </w:rPr>
        <w:t>востребованных специальностей медицинских работников</w:t>
        <w:br/>
        <w:t>государственных учреждений здравоохранения Тульской области,</w:t>
        <w:br/>
        <w:t>основным местом работы которых являются подразделения,</w:t>
        <w:br/>
        <w:t>оказывающие амбулаторно-поликлиническую помощь</w:t>
        <w:br/>
        <w:t>или скорую медицинскую помощь</w:t>
      </w:r>
    </w:p>
    <w:p>
      <w:pPr>
        <w:pStyle w:val="ConsPlus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1. Врач-терапевт участковый.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2. Врач-педиатр участковый.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3. Врач общей практики.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4. Врач-кардиолог.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5. Врач-невролог.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6. Врач-оториноларинголог.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7. Врач-офтальмолог.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8. Врач-фтизиатр.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9. Врач-онколог.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10. Врач скорой медицинской помощи.</w:t>
      </w:r>
    </w:p>
    <w:p>
      <w:pPr>
        <w:pStyle w:val="ConsPlusNormal"/>
        <w:spacing w:lineRule="exact" w:line="360"/>
        <w:ind w:firstLine="709"/>
        <w:jc w:val="both"/>
        <w:rPr>
          <w:szCs w:val="28"/>
        </w:rPr>
      </w:pPr>
      <w:r>
        <w:rPr>
          <w:szCs w:val="28"/>
        </w:rPr>
        <w:t>11. Фельдшер скорой медицинской помощи.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autoSpaceDE w:val="false"/>
        <w:jc w:val="center"/>
        <w:rPr>
          <w:color w:val="000000"/>
          <w:szCs w:val="28"/>
        </w:rPr>
      </w:pPr>
      <w:r>
        <w:rPr>
          <w:color w:val="000000"/>
        </w:rPr>
        <w:t>_______________________________________</w:t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851" w:header="709" w:top="964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8"/>
      <w:szCs w:val="20"/>
      <w:lang w:val="ru-RU" w:bidi="ar-SA" w:eastAsia="zh-C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Times New Roman" w:cs="Courier New"/>
      <w:b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3">
    <w:name w:val=" Знак Знак3"/>
    <w:qFormat/>
    <w:rPr>
      <w:rFonts w:ascii="Times New Roman" w:hAnsi="Times New Roman" w:eastAsia="Times New Roman" w:cs="Times New Roman"/>
      <w:sz w:val="28"/>
    </w:rPr>
  </w:style>
  <w:style w:type="character" w:styleId="41">
    <w:name w:val=" Знак Знак4"/>
    <w:qFormat/>
    <w:rPr>
      <w:rFonts w:ascii="Times New Roman" w:hAnsi="Times New Roman" w:eastAsia="Times New Roman" w:cs="Courier New"/>
      <w:b/>
      <w:sz w:val="28"/>
      <w:szCs w:val="24"/>
    </w:rPr>
  </w:style>
  <w:style w:type="character" w:styleId="2">
    <w:name w:val=" Знак Знак2"/>
    <w:qFormat/>
    <w:rPr>
      <w:szCs w:val="20"/>
    </w:rPr>
  </w:style>
  <w:style w:type="character" w:styleId="1">
    <w:name w:val=" Знак Знак1"/>
    <w:qFormat/>
    <w:rPr>
      <w:rFonts w:ascii="Tahoma" w:hAnsi="Tahoma" w:cs="Tahoma"/>
      <w:sz w:val="16"/>
      <w:szCs w:val="16"/>
    </w:rPr>
  </w:style>
  <w:style w:type="character" w:styleId="Style14">
    <w:name w:val=" Знак Знак"/>
    <w:qFormat/>
    <w:rPr>
      <w:szCs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widowControl w:val="false"/>
      <w:autoSpaceDE w:val="false"/>
      <w:jc w:val="both"/>
    </w:pPr>
    <w:rPr>
      <w:rFonts w:eastAsia="Times New Roman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color w:val="auto"/>
      <w:sz w:val="28"/>
      <w:szCs w:val="20"/>
      <w:lang w:val="ru-RU" w:bidi="ar-SA" w:eastAsia="zh-CN"/>
    </w:rPr>
  </w:style>
  <w:style w:type="paragraph" w:styleId="Style21">
    <w:name w:val="Header"/>
    <w:basedOn w:val="Normal"/>
    <w:pPr/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05EFE9C8DFB84DFF953E3674BC92E5718CC8033FC4AD158D7A42A4DF8C3EB8C6D53CDCD7C4136F4E03CE8IB75M" TargetMode="External"/><Relationship Id="rId3" Type="http://schemas.openxmlformats.org/officeDocument/2006/relationships/hyperlink" Target="consultantplus://offline/ref=EF878EAE27EC65F2BCCF8CB3917EDD7268481EE6F731E0784E37B0AAD46A7C166F9DC703F28B0ABE58I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3</TotalTime>
  <Application>LibreOffice/6.0.7.3$Linux_X86_64 LibreOffice_project/00m0$Build-3</Application>
  <Pages>3</Pages>
  <Words>364</Words>
  <Characters>2621</Characters>
  <CharactersWithSpaces>3030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2019-01-09T14:45:00Z</dcterms:created>
  <dc:creator>Юрчик Николай Михайлович</dc:creator>
  <dc:description/>
  <cp:keywords/>
  <dc:language>ru-RU</dc:language>
  <cp:lastModifiedBy>Admin</cp:lastModifiedBy>
  <cp:lastPrinted>2018-08-23T15:04:00Z</cp:lastPrinted>
  <dcterms:modified xsi:type="dcterms:W3CDTF">2019-01-10T10:49:00Z</dcterms:modified>
  <cp:revision>3</cp:revision>
  <dc:subject/>
  <dc:title>ПРАВИТЕЛЬСТВО ТУЛЬСКОЙ ОБЛАСТИ</dc:title>
</cp:coreProperties>
</file>